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17" w:rsidRDefault="000F5C57" w:rsidP="00C8153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Епидемиолошки подаци</w:t>
      </w:r>
      <w:bookmarkStart w:id="0" w:name="_GoBack"/>
      <w:bookmarkEnd w:id="0"/>
    </w:p>
    <w:p w:rsidR="00EC7117" w:rsidRDefault="00EC711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Рак грлића материце, скоро деценију, представља озбиљан јавноздравствени проблем у Србији. </w:t>
      </w: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Према подацима Регистра за рак, Института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за јавно здравље Србије „Др Милан Јовановић Батут”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сваке године се у просеку региструје 1244 новооболеле жене од рака грлића материце. Просечна стандардизована стопа инциденције (на популацију Европе) је износила 28,4 на 100.000 жена. </w:t>
      </w: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Када говоримо о умирању, сваке године у просеку 482 жене изгубе живот од ове врсте рака, за коју са сигурношћу знамо  да припада групи најпревентабилнијих. И просечна стандардизована стопа морталитета (на популацију Европе) је износила 9,7 на 100.000 жена. </w:t>
      </w: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Само током 2013. године регистровано је 1136 новооболелих жена свих узраста од рака грлића материце и стандардизована стопа инциденције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(на популацију Европе) је износила 27,8 на 100.000 жена. Током исте године, 468 жена је у Србији умрло од ове врсте рака и стандардизована стопа морталитета (на популацију Европе) је износила 9,2 на 100.000 жена. </w:t>
      </w:r>
    </w:p>
    <w:p w:rsidR="00EC7117" w:rsidRPr="000F5C5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Када говоримо оболевању највише стандардизоване стопе инциденције су током 2013. године регистроване у Борском, Јабланичком, Средњебанатском, Пчињском и Мачванском округу, а најниже у Рашком, Јужнобанатском, Севернобанатском, Златиборском и  Пиротском округу (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абела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1)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Табела 1. Стандардизоване стопе инциденције (*на популацију Европе) рака грлића материце, по окрузима у Републици Србији, 2013. година</w:t>
      </w:r>
    </w:p>
    <w:p w:rsidR="00EC7117" w:rsidRDefault="000F5C57">
      <w:pPr>
        <w:spacing w:line="360" w:lineRule="auto"/>
        <w:jc w:val="both"/>
      </w:pPr>
      <w:r>
        <w:rPr>
          <w:noProof/>
          <w:lang w:eastAsia="en-GB"/>
        </w:rPr>
        <w:drawing>
          <wp:inline distT="0" distB="0" distL="0" distR="0">
            <wp:extent cx="5383530" cy="726630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случају умирања, више стандардизоване стопе морталитета  од просечне у Републици Србији су регистроване у Браничевском,  Јужно банатском, Колубарском, Јужно бачком и Шумадијском округу. Најниже стандардизоване стопе морталитета су током 2013. Године регистроване у   Пиротском, Расинском, Сремском, Топличком и Западно бачком округу. (Табела 2.)</w:t>
      </w: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Табела 2. Стандардизоване стопе морталитета (*на популацију Европе) рака грлића материце, по окрузима у Републици Србији, 2013. година</w:t>
      </w: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0F5C57">
      <w:pPr>
        <w:spacing w:line="360" w:lineRule="auto"/>
        <w:jc w:val="both"/>
      </w:pPr>
      <w:r>
        <w:rPr>
          <w:noProof/>
          <w:lang w:eastAsia="en-GB"/>
        </w:rPr>
        <w:drawing>
          <wp:inline distT="0" distB="0" distL="0" distR="0">
            <wp:extent cx="5567680" cy="41275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EC711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117" w:rsidRDefault="000F5C5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основу регистрованих стопа и оболевања и умирања као и на основу процена Међународне агенције за истраживање рака (IARC)  која периодично, у сарадњи са Европском мрежом регистара за рак (ENCR) објављује  извештаје о оптерећењу раком у Европском региону, Србија се и даље налази у групи земаља са највишим стопама оболевања и умирања у Европи.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EC7117" w:rsidRDefault="000F5C5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Када је реч о оболевању од рака грлића материце, Србија се налази на четвртом месту у Европи, после Румуније, Литваније и Бугарске. Нажалост, наша земља се по умирању од ове врсте рака код жена, налази на другом месту у Европи, одмах после Румуније.</w:t>
      </w:r>
    </w:p>
    <w:sectPr w:rsidR="00EC7117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7117"/>
    <w:rsid w:val="000F5C57"/>
    <w:rsid w:val="00C81534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title>
      <c:tx>
        <c:rich>
          <a:bodyPr/>
          <a:lstStyle/>
          <a:p>
            <a:pPr>
              <a:defRPr/>
            </a:pPr>
            <a:r>
              <a:rPr b="1">
                <a:solidFill>
                  <a:srgbClr val="000000"/>
                </a:solidFill>
                <a:latin typeface="Calibri"/>
              </a:rPr>
              <a:t>ASR(E)</a:t>
            </a:r>
          </a:p>
        </c:rich>
      </c:tx>
      <c:overlay val="1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ASR(E)</c:v>
                </c:pt>
              </c:strCache>
            </c:strRef>
          </c:tx>
          <c:spPr>
            <a:solidFill>
              <a:srgbClr val="4F81BD"/>
            </a:solidFill>
            <a:ln>
              <a:solidFill>
                <a:srgbClr val="FF0000"/>
              </a:solidFill>
            </a:ln>
          </c:spPr>
          <c:invertIfNegative val="1"/>
          <c:cat>
            <c:strRef>
              <c:f>categories</c:f>
              <c:strCache>
                <c:ptCount val="25"/>
                <c:pt idx="0">
                  <c:v>Борски </c:v>
                </c:pt>
                <c:pt idx="1">
                  <c:v>Јабланички </c:v>
                </c:pt>
                <c:pt idx="2">
                  <c:v>Средње банатски</c:v>
                </c:pt>
                <c:pt idx="3">
                  <c:v>Пчињски </c:v>
                </c:pt>
                <c:pt idx="4">
                  <c:v>Мачвански </c:v>
                </c:pt>
                <c:pt idx="5">
                  <c:v>Колубарски </c:v>
                </c:pt>
                <c:pt idx="6">
                  <c:v>Моравички </c:v>
                </c:pt>
                <c:pt idx="7">
                  <c:v>Зајечарски </c:v>
                </c:pt>
                <c:pt idx="8">
                  <c:v>Шумадијски </c:v>
                </c:pt>
                <c:pt idx="9">
                  <c:v>Топлички </c:v>
                </c:pt>
                <c:pt idx="10">
                  <c:v>Нишавски </c:v>
                </c:pt>
                <c:pt idx="11">
                  <c:v>Расински </c:v>
                </c:pt>
                <c:pt idx="12">
                  <c:v>Подунавски </c:v>
                </c:pt>
                <c:pt idx="13">
                  <c:v>Браничевски </c:v>
                </c:pt>
                <c:pt idx="14">
                  <c:v>Јужно бачки</c:v>
                </c:pt>
                <c:pt idx="15">
                  <c:v>Западно бачки</c:v>
                </c:pt>
                <c:pt idx="16">
                  <c:v>Северно бачки</c:v>
                </c:pt>
                <c:pt idx="17">
                  <c:v>Град Београд</c:v>
                </c:pt>
                <c:pt idx="18">
                  <c:v>Сремски</c:v>
                </c:pt>
                <c:pt idx="19">
                  <c:v>Поморавски </c:v>
                </c:pt>
                <c:pt idx="20">
                  <c:v>Рашки </c:v>
                </c:pt>
                <c:pt idx="21">
                  <c:v>Јужно банатски</c:v>
                </c:pt>
                <c:pt idx="22">
                  <c:v>Северно банатски</c:v>
                </c:pt>
                <c:pt idx="23">
                  <c:v>Златиборски </c:v>
                </c:pt>
                <c:pt idx="24">
                  <c:v>Пиротски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50.748756381511399</c:v>
                </c:pt>
                <c:pt idx="1">
                  <c:v>40.606402980989003</c:v>
                </c:pt>
                <c:pt idx="2">
                  <c:v>40.232366545770901</c:v>
                </c:pt>
                <c:pt idx="3">
                  <c:v>38.780653456406</c:v>
                </c:pt>
                <c:pt idx="4">
                  <c:v>36.906539158560904</c:v>
                </c:pt>
                <c:pt idx="5">
                  <c:v>34.613518744541402</c:v>
                </c:pt>
                <c:pt idx="6">
                  <c:v>34.518384758133401</c:v>
                </c:pt>
                <c:pt idx="7">
                  <c:v>34.033638289427699</c:v>
                </c:pt>
                <c:pt idx="8">
                  <c:v>33.659905884797297</c:v>
                </c:pt>
                <c:pt idx="9">
                  <c:v>30.128272537232899</c:v>
                </c:pt>
                <c:pt idx="10">
                  <c:v>28.586376522902601</c:v>
                </c:pt>
                <c:pt idx="11">
                  <c:v>26.624800540093599</c:v>
                </c:pt>
                <c:pt idx="12">
                  <c:v>26.1925256143154</c:v>
                </c:pt>
                <c:pt idx="13">
                  <c:v>26.1296631674136</c:v>
                </c:pt>
                <c:pt idx="14">
                  <c:v>25.3750823077192</c:v>
                </c:pt>
                <c:pt idx="15">
                  <c:v>23.6304040631254</c:v>
                </c:pt>
                <c:pt idx="16">
                  <c:v>21.665475506350202</c:v>
                </c:pt>
                <c:pt idx="17">
                  <c:v>21.6642612334273</c:v>
                </c:pt>
                <c:pt idx="18">
                  <c:v>21.157907774821702</c:v>
                </c:pt>
                <c:pt idx="19">
                  <c:v>18.326571044852301</c:v>
                </c:pt>
                <c:pt idx="20">
                  <c:v>17.299760842121501</c:v>
                </c:pt>
                <c:pt idx="21">
                  <c:v>17.285551638251501</c:v>
                </c:pt>
                <c:pt idx="22">
                  <c:v>15.324141870041499</c:v>
                </c:pt>
                <c:pt idx="23">
                  <c:v>11.3051351931528</c:v>
                </c:pt>
                <c:pt idx="24">
                  <c:v>10.513406051365401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solidFill>
                      <a:srgbClr val="FF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336320"/>
        <c:axId val="75338112"/>
      </c:barChart>
      <c:catAx>
        <c:axId val="753363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75338112"/>
        <c:crossesAt val="0"/>
        <c:auto val="1"/>
        <c:lblAlgn val="ctr"/>
        <c:lblOffset val="100"/>
        <c:noMultiLvlLbl val="1"/>
      </c:catAx>
      <c:valAx>
        <c:axId val="75338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75336320"/>
        <c:crossesAt val="0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zero"/>
    <c:showDLblsOverMax val="1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title>
      <c:tx>
        <c:rich>
          <a:bodyPr/>
          <a:lstStyle/>
          <a:p>
            <a:pPr>
              <a:defRPr/>
            </a:pPr>
            <a:r>
              <a:rPr b="1">
                <a:solidFill>
                  <a:srgbClr val="000000"/>
                </a:solidFill>
                <a:latin typeface="Calibri"/>
              </a:rPr>
              <a:t>ASR(E)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ASR(E)</c:v>
                </c:pt>
              </c:strCache>
            </c:strRef>
          </c:tx>
          <c:spPr>
            <a:solidFill>
              <a:srgbClr val="4F81BD"/>
            </a:solidFill>
            <a:ln>
              <a:solidFill>
                <a:srgbClr val="00B050"/>
              </a:solidFill>
            </a:ln>
          </c:spPr>
          <c:invertIfNegative val="1"/>
          <c:cat>
            <c:strRef>
              <c:f>categories</c:f>
              <c:strCache>
                <c:ptCount val="25"/>
                <c:pt idx="0">
                  <c:v>Браничевски </c:v>
                </c:pt>
                <c:pt idx="1">
                  <c:v>Јужно банатски</c:v>
                </c:pt>
                <c:pt idx="2">
                  <c:v>Колубарски </c:v>
                </c:pt>
                <c:pt idx="3">
                  <c:v>Јужно бачки</c:v>
                </c:pt>
                <c:pt idx="4">
                  <c:v>Шумадијски </c:v>
                </c:pt>
                <c:pt idx="5">
                  <c:v>Борски </c:v>
                </c:pt>
                <c:pt idx="6">
                  <c:v>Подунавски </c:v>
                </c:pt>
                <c:pt idx="7">
                  <c:v>Северно бачки</c:v>
                </c:pt>
                <c:pt idx="8">
                  <c:v>Мачвански </c:v>
                </c:pt>
                <c:pt idx="9">
                  <c:v>Златиборски </c:v>
                </c:pt>
                <c:pt idx="10">
                  <c:v>Нишавски </c:v>
                </c:pt>
                <c:pt idx="11">
                  <c:v>Пчињски </c:v>
                </c:pt>
                <c:pt idx="12">
                  <c:v>Моравички </c:v>
                </c:pt>
                <c:pt idx="13">
                  <c:v>Средње банатски</c:v>
                </c:pt>
                <c:pt idx="14">
                  <c:v>Северно банатски</c:v>
                </c:pt>
                <c:pt idx="15">
                  <c:v>Град Београд</c:v>
                </c:pt>
                <c:pt idx="16">
                  <c:v>Јабланички </c:v>
                </c:pt>
                <c:pt idx="17">
                  <c:v>Поморавски </c:v>
                </c:pt>
                <c:pt idx="18">
                  <c:v>Рашки </c:v>
                </c:pt>
                <c:pt idx="19">
                  <c:v>Зајечарски </c:v>
                </c:pt>
                <c:pt idx="20">
                  <c:v>Пиротски </c:v>
                </c:pt>
                <c:pt idx="21">
                  <c:v>Расински </c:v>
                </c:pt>
                <c:pt idx="22">
                  <c:v>Сремски</c:v>
                </c:pt>
                <c:pt idx="23">
                  <c:v>Топлички </c:v>
                </c:pt>
                <c:pt idx="24">
                  <c:v>Западно бачки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14.577908433254899</c:v>
                </c:pt>
                <c:pt idx="1">
                  <c:v>13.228341697351899</c:v>
                </c:pt>
                <c:pt idx="2">
                  <c:v>11.7241607149221</c:v>
                </c:pt>
                <c:pt idx="3">
                  <c:v>11.457705499600801</c:v>
                </c:pt>
                <c:pt idx="4">
                  <c:v>11.3852425675069</c:v>
                </c:pt>
                <c:pt idx="5">
                  <c:v>11.3169649193017</c:v>
                </c:pt>
                <c:pt idx="6">
                  <c:v>11.0860133732696</c:v>
                </c:pt>
                <c:pt idx="7">
                  <c:v>11.0395895804548</c:v>
                </c:pt>
                <c:pt idx="8">
                  <c:v>10.7806183300229</c:v>
                </c:pt>
                <c:pt idx="9">
                  <c:v>10.550896953353799</c:v>
                </c:pt>
                <c:pt idx="10">
                  <c:v>10.544005653856599</c:v>
                </c:pt>
                <c:pt idx="11">
                  <c:v>9.9756775911029791</c:v>
                </c:pt>
                <c:pt idx="12">
                  <c:v>9.7750450171722605</c:v>
                </c:pt>
                <c:pt idx="13">
                  <c:v>9.2797680967809306</c:v>
                </c:pt>
                <c:pt idx="14">
                  <c:v>8.9943175805383699</c:v>
                </c:pt>
                <c:pt idx="15">
                  <c:v>8.7438661231636097</c:v>
                </c:pt>
                <c:pt idx="16">
                  <c:v>7.9121022804428103</c:v>
                </c:pt>
                <c:pt idx="17">
                  <c:v>6.3833009706195201</c:v>
                </c:pt>
                <c:pt idx="18">
                  <c:v>6.0939715146643003</c:v>
                </c:pt>
                <c:pt idx="19">
                  <c:v>5.48683692969077</c:v>
                </c:pt>
                <c:pt idx="20">
                  <c:v>5.4719313997418899</c:v>
                </c:pt>
                <c:pt idx="21">
                  <c:v>5.3756211544110402</c:v>
                </c:pt>
                <c:pt idx="22">
                  <c:v>4.4330344795209502</c:v>
                </c:pt>
                <c:pt idx="23">
                  <c:v>3.52282887167451</c:v>
                </c:pt>
                <c:pt idx="24">
                  <c:v>2.7262144152438599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solidFill>
                      <a:srgbClr val="00B05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88160"/>
        <c:axId val="74589696"/>
      </c:barChart>
      <c:catAx>
        <c:axId val="745881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74589696"/>
        <c:crossesAt val="0"/>
        <c:auto val="1"/>
        <c:lblAlgn val="ctr"/>
        <c:lblOffset val="100"/>
        <c:noMultiLvlLbl val="1"/>
      </c:catAx>
      <c:valAx>
        <c:axId val="7458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74588160"/>
        <c:crossesAt val="0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SZ. Zivkovic</dc:creator>
  <cp:lastModifiedBy>Tamara TG. Gruden</cp:lastModifiedBy>
  <cp:revision>6</cp:revision>
  <dcterms:created xsi:type="dcterms:W3CDTF">2016-01-13T10:21:00Z</dcterms:created>
  <dcterms:modified xsi:type="dcterms:W3CDTF">2017-01-04T11:08:00Z</dcterms:modified>
  <dc:language>en-US</dc:language>
</cp:coreProperties>
</file>